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112-02/25-01/13</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2181-1-266-06-25-6</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21</w:t>
      </w:r>
      <w:r>
        <w:rPr>
          <w:rFonts w:asciiTheme="minorHAnsi" w:hAnsiTheme="minorHAnsi" w:eastAsiaTheme="minorHAnsi" w:cstheme="minorHAnsi"/>
          <w:color w:val="auto"/>
          <w:szCs w:val="24"/>
          <w:lang w:eastAsia="en-US"/>
        </w:rPr>
        <w:t xml:space="preserve">. </w:t>
      </w:r>
      <w:r>
        <w:rPr>
          <w:rFonts w:asciiTheme="minorHAnsi" w:hAnsiTheme="minorHAnsi" w:eastAsiaTheme="minorHAnsi" w:cstheme="minorHAnsi"/>
          <w:color w:val="auto"/>
          <w:szCs w:val="24"/>
          <w:lang w:eastAsia="en-US"/>
        </w:rPr>
        <w:t xml:space="preserve">listopada</w:t>
      </w:r>
      <w:r>
        <w:rPr>
          <w:rFonts w:asciiTheme="minorHAnsi" w:hAnsiTheme="minorHAnsi" w:eastAsiaTheme="minorHAnsi" w:cstheme="minorHAnsi"/>
          <w:color w:val="auto"/>
          <w:szCs w:val="24"/>
          <w:lang w:eastAsia="en-US"/>
        </w:rPr>
        <w:t xml:space="preserve"> 2025.</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spacing w:after="0" w:line="256" w:lineRule="auto"/>
        <w:jc w:val="center"/>
        <w:rPr>
          <w:rFonts w:asciiTheme="minorHAnsi" w:hAnsiTheme="minorHAnsi" w:cstheme="minorHAnsi"/>
          <w:szCs w:val="24"/>
        </w:rPr>
      </w:pPr>
      <w:r>
        <w:rPr>
          <w:rFonts w:asciiTheme="minorHAnsi" w:hAnsiTheme="minorHAnsi" w:eastAsia="Arial CE" w:cstheme="minorHAnsi"/>
          <w:b/>
          <w:i/>
          <w:szCs w:val="24"/>
        </w:rPr>
        <w:t xml:space="preserve">ODLUKU</w:t>
      </w:r>
    </w:p>
    <w:p>
      <w:pPr>
        <w:spacing w:after="233" w:line="256" w:lineRule="auto"/>
        <w:ind w:right="61"/>
        <w:jc w:val="center"/>
        <w:rPr>
          <w:rFonts w:asciiTheme="minorHAnsi" w:hAnsiTheme="minorHAnsi" w:cstheme="minorHAnsi"/>
          <w:szCs w:val="24"/>
        </w:rPr>
      </w:pPr>
      <w:r>
        <w:rPr>
          <w:rFonts w:asciiTheme="minorHAnsi" w:hAnsiTheme="minorHAnsi" w:eastAsia="Arial CE" w:cstheme="minorHAnsi"/>
          <w:b/>
          <w:i/>
          <w:szCs w:val="24"/>
        </w:rPr>
        <w:t xml:space="preserve">o načinu procjene odnosno testiranja kandidata prijavljenih na natječaj </w:t>
      </w:r>
    </w:p>
    <w:p>
      <w:pPr>
        <w:spacing w:after="0" w:line="256" w:lineRule="auto"/>
        <w:ind w:left="0" w:firstLine="0"/>
        <w:jc w:val="center"/>
        <w:rPr>
          <w:rFonts w:asciiTheme="minorHAnsi" w:hAnsiTheme="minorHAnsi" w:cstheme="minorHAnsi"/>
          <w:szCs w:val="24"/>
        </w:rPr>
      </w:pPr>
      <w:r>
        <w:rPr>
          <w:rFonts w:asciiTheme="minorHAnsi" w:hAnsiTheme="minorHAnsi" w:eastAsia="Arial CE" w:cstheme="minorHAnsi"/>
          <w:szCs w:val="24"/>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16. listopada</w:t>
      </w:r>
      <w:r>
        <w:rPr>
          <w:rFonts w:asciiTheme="minorHAnsi" w:hAnsiTheme="minorHAnsi" w:eastAsia="Calibri" w:cstheme="minorHAnsi"/>
        </w:rPr>
        <w:t xml:space="preserve"> 2025.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Učitelj koji obavlja poslove učitelja matematike – 1 izvršitelj na određeno </w:t>
      </w:r>
      <w:r>
        <w:rPr>
          <w:rFonts w:asciiTheme="minorHAnsi" w:hAnsiTheme="minorHAnsi" w:cstheme="minorHAnsi"/>
          <w:bCs/>
          <w:lang w:eastAsia="hr-HR"/>
        </w:rPr>
        <w:t xml:space="preserve">puno </w:t>
      </w:r>
      <w:bookmarkStart w:id="2" w:name="_GoBack"/>
      <w:bookmarkEnd w:id="2"/>
      <w:r>
        <w:rPr>
          <w:rFonts w:asciiTheme="minorHAnsi" w:hAnsiTheme="minorHAnsi" w:cstheme="minorHAnsi"/>
          <w:bCs/>
          <w:lang w:eastAsia="hr-HR"/>
        </w:rPr>
        <w:t xml:space="preserve">radno vrijeme</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pismeno iz poznavanja propisa koji se odnose na djelatnost osnovnog obrazovanja i to iz sljedećih propisa:</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Ustav Republike Hrvatske (Narodne novine, broj: 56/90, 135/97, 08/98, 113/00, 124/00, 28/01, 41/01, 55/01, 76/10, 85/10, 05/14)</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Zakon o odgoju i obrazovanju u osnovnoj i srednjoj školi (Narodne novine, broj: 87/08., 86/09., 92/10., 105/10.-ispr, 90/11., 5/12., 16/12., 86/12., 126/12., 94/13., 136/14.-RUSRH, 152/14.,</w:t>
      </w:r>
      <w:r>
        <w:rPr>
          <w:rFonts w:asciiTheme="minorHAnsi" w:hAnsiTheme="minorHAnsi" w:eastAsia="Calibri" w:cstheme="minorHAnsi"/>
          <w:b/>
          <w:color w:val="000000"/>
        </w:rPr>
        <w:t xml:space="preserve"> </w:t>
      </w:r>
      <w:r>
        <w:rPr>
          <w:rFonts w:asciiTheme="minorHAnsi" w:hAnsiTheme="minorHAnsi" w:eastAsia="Calibri" w:cstheme="minorHAnsi"/>
          <w:color w:val="000000"/>
        </w:rPr>
        <w:t xml:space="preserve">7/17., 68/18., 98/19, 64/20, 151/22. i 156/23.)</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eastAsia="Calibri" w:cstheme="minorHAnsi"/>
          <w:color w:val="000000"/>
        </w:rPr>
        <w:t xml:space="preserve">Pravilnik o načinima, postupcima i elementima vrednovanja učenika u osnovnoj i srednjoj školi (Narodne novine, broj: 112/10., 82/19., 43/20 i 100/21)</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osnovnoškolskom i srednjoškolskom odgoju i obrazovanju učenika s teškoćama u razvoju (Narodne novine broj: 24/15.)</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kriterijima za izricanje pedagoških mjera (Narodne novine broj: 94/15. i 3/17.)</w:t>
      </w:r>
    </w:p>
    <w:p>
      <w:pPr>
        <w:pStyle w:val="Normal1"/>
        <w:numPr>
          <w:ilvl w:val="0"/>
          <w:numId w:val="3"/>
        </w:numPr>
        <w:pBdr>
          <w:top w:val="nil"/>
          <w:left w:val="nil"/>
          <w:bottom w:val="nil"/>
          <w:right w:val="nil"/>
          <w:between w:val="nil"/>
        </w:pBdr>
        <w:spacing/>
        <w:rPr>
          <w:rFonts w:asciiTheme="minorHAnsi" w:hAnsiTheme="minorHAnsi" w:cstheme="minorHAnsi"/>
          <w:color w:val="000000"/>
        </w:rPr>
      </w:pPr>
      <w:r>
        <w:rPr>
          <w:rFonts w:asciiTheme="minorHAnsi" w:hAnsiTheme="minorHAnsi" w:cstheme="minorHAnsi"/>
          <w:color w:val="000000"/>
        </w:rPr>
        <w:t xml:space="preserve">Pravilnik o odgoju i obrazovanju darovite djece i učenika ( Narodne novine broj: 71/2025. ).</w:t>
      </w: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                                                                                   Predsjednica Povjerenstva</w:t>
      </w:r>
    </w:p>
    <w:p>
      <w:pPr>
        <w:pStyle w:val="Normal1"/>
        <w:spacing/>
        <w:jc w:val="center"/>
        <w:rPr>
          <w:rFonts w:asciiTheme="minorHAnsi" w:hAnsiTheme="minorHAnsi" w:eastAsiaTheme="minorHAnsi" w:cstheme="minorHAnsi"/>
          <w:sz w:val="22"/>
          <w:szCs w:val="22"/>
        </w:rPr>
      </w:pPr>
    </w:p>
    <w:p>
      <w:pPr>
        <w:pStyle w:val="Normal1"/>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ab/>
        <w:t xml:space="preserve"/>
      </w:r>
      <w:r>
        <w:rPr>
          <w:rFonts w:asciiTheme="minorHAnsi" w:hAnsiTheme="minorHAnsi" w:eastAsiaTheme="minorHAnsi" w:cstheme="minorHAnsi"/>
          <w:sz w:val="22"/>
          <w:szCs w:val="22"/>
        </w:rPr>
        <w:tab/>
        <w:t xml:space="preserve"/>
      </w:r>
      <w:r>
        <w:rPr>
          <w:rFonts w:asciiTheme="minorHAnsi" w:hAnsiTheme="minorHAnsi" w:eastAsiaTheme="minorHAnsi" w:cstheme="minorHAnsi"/>
          <w:sz w:val="22"/>
          <w:szCs w:val="22"/>
        </w:rPr>
        <w:t xml:space="preserve">                                                         Jelena Bralić</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 w:name="Arial CE">
    <w:charset w:val="2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465</Words>
  <Characters>2653</Characters>
  <Application>Microsoft Office Word</Application>
  <DocSecurity>0</DocSecurity>
  <Lines>22</Lines>
  <Paragraphs>6</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2025-10-23T13:29:00Z</dcterms:created>
  <dcterms:modified xsi:type="dcterms:W3CDTF">2025-10-23T13:29:00Z</dcterms:modified>
</cp:coreProperties>
</file>